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5A525A37" w:rsidR="007974A7" w:rsidRDefault="00A55C06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55C06">
        <w:rPr>
          <w:rFonts w:hint="eastAsia"/>
          <w:b/>
          <w:sz w:val="32"/>
          <w:szCs w:val="32"/>
        </w:rPr>
        <w:t>增程电动研发流程及核心技术</w:t>
      </w:r>
      <w:r>
        <w:rPr>
          <w:rFonts w:hint="eastAsia"/>
          <w:b/>
          <w:sz w:val="32"/>
          <w:szCs w:val="32"/>
        </w:rPr>
        <w:t>培训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6E6B8587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36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</w:t>
            </w:r>
            <w:r w:rsidR="00661612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58797E81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有何见意</w:t>
            </w:r>
            <w:proofErr w:type="gramEnd"/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6A65" w14:textId="77777777" w:rsidR="00006720" w:rsidRDefault="00006720" w:rsidP="00677590">
      <w:r>
        <w:separator/>
      </w:r>
    </w:p>
  </w:endnote>
  <w:endnote w:type="continuationSeparator" w:id="0">
    <w:p w14:paraId="0F513A6E" w14:textId="77777777" w:rsidR="00006720" w:rsidRDefault="00006720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57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CA71C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5AFE" w14:textId="77777777" w:rsidR="00006720" w:rsidRDefault="00006720" w:rsidP="00677590">
      <w:r>
        <w:separator/>
      </w:r>
    </w:p>
  </w:footnote>
  <w:footnote w:type="continuationSeparator" w:id="0">
    <w:p w14:paraId="0713ECEA" w14:textId="77777777" w:rsidR="00006720" w:rsidRDefault="00006720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7B7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3D038B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6720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119</Words>
  <Characters>679</Characters>
  <Application>Microsoft Office Word</Application>
  <DocSecurity>0</DocSecurity>
  <Lines>5</Lines>
  <Paragraphs>1</Paragraphs>
  <ScaleCrop>false</ScaleCrop>
  <Company>EON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28</cp:revision>
  <cp:lastPrinted>2016-03-11T10:55:00Z</cp:lastPrinted>
  <dcterms:created xsi:type="dcterms:W3CDTF">2019-03-11T15:07:00Z</dcterms:created>
  <dcterms:modified xsi:type="dcterms:W3CDTF">2022-08-06T07:46:00Z</dcterms:modified>
</cp:coreProperties>
</file>